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FF814" w14:textId="43F05D78" w:rsidR="00856B63" w:rsidRPr="003669C0" w:rsidRDefault="00856B63" w:rsidP="00313DAB">
      <w:pPr>
        <w:pStyle w:val="Heading1"/>
        <w:spacing w:after="0" w:line="240" w:lineRule="auto"/>
        <w:jc w:val="center"/>
      </w:pPr>
      <w:bookmarkStart w:id="0" w:name="_Toc214546329"/>
      <w:r w:rsidRPr="003669C0">
        <w:t xml:space="preserve">PHỤ LỤC </w:t>
      </w:r>
      <w:bookmarkEnd w:id="0"/>
      <w:r w:rsidRPr="003669C0">
        <w:t>4</w:t>
      </w:r>
      <w:bookmarkStart w:id="1" w:name="_Toc214546330"/>
      <w:r w:rsidR="004E4D26">
        <w:br/>
      </w:r>
      <w:r w:rsidRPr="003669C0">
        <w:t>MẪU DẤU HIỆU CẢNH BÁO BỨC XẠ VÀ NHÃN CẢNH BÁO DÙNG TRONG VẬN CHUYỂN</w:t>
      </w:r>
      <w:bookmarkEnd w:id="1"/>
      <w:r w:rsidRPr="003669C0">
        <w:t xml:space="preserve"> </w:t>
      </w:r>
    </w:p>
    <w:p w14:paraId="54CCC3B2" w14:textId="55AE6098" w:rsidR="00856B63" w:rsidRPr="003669C0" w:rsidRDefault="00856B63" w:rsidP="00313DAB">
      <w:pPr>
        <w:spacing w:before="120"/>
        <w:jc w:val="center"/>
        <w:rPr>
          <w:i/>
          <w:color w:val="auto"/>
          <w:lang w:eastAsia="en-US"/>
        </w:rPr>
      </w:pPr>
      <w:r w:rsidRPr="003669C0">
        <w:rPr>
          <w:i/>
          <w:color w:val="auto"/>
          <w:lang w:eastAsia="en-US"/>
        </w:rPr>
        <w:t>(</w:t>
      </w:r>
      <w:bookmarkStart w:id="2" w:name="chuong_pl_2_name"/>
      <w:r w:rsidRPr="003669C0">
        <w:rPr>
          <w:i/>
          <w:color w:val="auto"/>
          <w:lang w:eastAsia="en-US"/>
        </w:rPr>
        <w:t xml:space="preserve">Kèm theo Thông tư số </w:t>
      </w:r>
      <w:r w:rsidR="00C03A43">
        <w:rPr>
          <w:i/>
          <w:color w:val="auto"/>
          <w:lang w:eastAsia="en-US"/>
        </w:rPr>
        <w:t>59</w:t>
      </w:r>
      <w:r w:rsidRPr="003669C0">
        <w:rPr>
          <w:i/>
          <w:color w:val="auto"/>
          <w:lang w:eastAsia="en-US"/>
        </w:rPr>
        <w:t xml:space="preserve">/2025/TT-BKHCN ngày </w:t>
      </w:r>
      <w:r w:rsidR="00C03A43">
        <w:rPr>
          <w:i/>
          <w:color w:val="auto"/>
          <w:lang w:eastAsia="en-US"/>
        </w:rPr>
        <w:t>31</w:t>
      </w:r>
      <w:r w:rsidRPr="003669C0">
        <w:rPr>
          <w:i/>
          <w:color w:val="auto"/>
          <w:lang w:eastAsia="en-US"/>
        </w:rPr>
        <w:t xml:space="preserve"> tháng 12 năm 2025</w:t>
      </w:r>
      <w:r w:rsidR="009A130C">
        <w:rPr>
          <w:i/>
          <w:color w:val="auto"/>
          <w:lang w:eastAsia="en-US"/>
        </w:rPr>
        <w:br/>
      </w:r>
      <w:r w:rsidRPr="003669C0">
        <w:rPr>
          <w:i/>
          <w:color w:val="auto"/>
          <w:lang w:eastAsia="en-US"/>
        </w:rPr>
        <w:t>của</w:t>
      </w:r>
      <w:r w:rsidR="008B11E6">
        <w:rPr>
          <w:i/>
          <w:color w:val="auto"/>
          <w:lang w:eastAsia="en-US"/>
        </w:rPr>
        <w:t xml:space="preserve"> </w:t>
      </w:r>
      <w:r w:rsidRPr="003669C0">
        <w:rPr>
          <w:i/>
          <w:color w:val="auto"/>
          <w:lang w:eastAsia="en-US"/>
        </w:rPr>
        <w:t>Bộ trưởng Bộ Khoa học và Công nghệ</w:t>
      </w:r>
      <w:bookmarkEnd w:id="2"/>
      <w:r w:rsidRPr="003669C0">
        <w:rPr>
          <w:i/>
          <w:color w:val="auto"/>
          <w:lang w:eastAsia="en-US"/>
        </w:rPr>
        <w:t>)</w:t>
      </w:r>
    </w:p>
    <w:p w14:paraId="4E7C78DA" w14:textId="77777777" w:rsidR="00856B63" w:rsidRPr="003669C0" w:rsidRDefault="00856B63" w:rsidP="00313DAB">
      <w:pPr>
        <w:spacing w:before="120"/>
        <w:jc w:val="center"/>
        <w:rPr>
          <w:color w:val="auto"/>
          <w:sz w:val="26"/>
          <w:szCs w:val="26"/>
          <w:lang w:eastAsia="en-US"/>
        </w:rPr>
      </w:pPr>
      <w:r w:rsidRPr="003669C0">
        <w:rPr>
          <w:noProof/>
          <w:color w:val="auto"/>
          <w:sz w:val="26"/>
          <w:szCs w:val="26"/>
          <w:lang w:eastAsia="en-US"/>
        </w:rPr>
        <w:drawing>
          <wp:inline distT="0" distB="0" distL="0" distR="0" wp14:anchorId="063D4616" wp14:editId="77B668AB">
            <wp:extent cx="2026920" cy="2331720"/>
            <wp:effectExtent l="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52055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  <w:r w:rsidRPr="003669C0">
        <w:rPr>
          <w:color w:val="auto"/>
          <w:lang w:eastAsia="en-US"/>
        </w:rPr>
        <w:t>Hình 1. Dấu hiệu cảnh báo bức xạ.</w:t>
      </w:r>
    </w:p>
    <w:p w14:paraId="49262E40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  <w:r w:rsidRPr="003669C0">
        <w:rPr>
          <w:color w:val="auto"/>
          <w:lang w:eastAsia="en-US"/>
        </w:rPr>
        <w:t xml:space="preserve">Bán kính tối thiểu X của đường tròn trung tâm là 4 milimét </w:t>
      </w:r>
    </w:p>
    <w:p w14:paraId="58C93121" w14:textId="77777777" w:rsidR="00856B63" w:rsidRPr="003669C0" w:rsidRDefault="00856B63" w:rsidP="00313DAB">
      <w:pPr>
        <w:spacing w:before="120"/>
        <w:jc w:val="center"/>
        <w:rPr>
          <w:color w:val="auto"/>
          <w:sz w:val="26"/>
          <w:szCs w:val="26"/>
          <w:lang w:eastAsia="en-US"/>
        </w:rPr>
      </w:pPr>
      <w:r w:rsidRPr="003669C0">
        <w:rPr>
          <w:noProof/>
          <w:color w:val="auto"/>
          <w:sz w:val="26"/>
          <w:szCs w:val="26"/>
          <w:lang w:eastAsia="en-US"/>
        </w:rPr>
        <w:drawing>
          <wp:inline distT="0" distB="0" distL="0" distR="0" wp14:anchorId="2BDA6E8B" wp14:editId="75CF9F3D">
            <wp:extent cx="3086100" cy="28879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E9DB3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  <w:r w:rsidRPr="003669C0">
        <w:rPr>
          <w:color w:val="auto"/>
          <w:lang w:eastAsia="en-US"/>
        </w:rPr>
        <w:t xml:space="preserve">Hình 2. Nhãn I-TRẮNG: nền màu trắng, dấu hiệu cảnh báo bức xạ màu đen, </w:t>
      </w:r>
      <w:r w:rsidRPr="003669C0">
        <w:rPr>
          <w:color w:val="auto"/>
          <w:lang w:eastAsia="en-US"/>
        </w:rPr>
        <w:br/>
        <w:t>chữ màu đen, chữ I màu đỏ, kích thước mỗi chiều tối thiểu 100 milimét</w:t>
      </w:r>
      <w:r w:rsidRPr="003669C0" w:rsidDel="00E737FA">
        <w:rPr>
          <w:color w:val="auto"/>
          <w:lang w:eastAsia="en-US"/>
        </w:rPr>
        <w:t xml:space="preserve"> </w:t>
      </w:r>
    </w:p>
    <w:p w14:paraId="63A4A648" w14:textId="77777777" w:rsidR="00856B63" w:rsidRPr="003669C0" w:rsidRDefault="00856B63" w:rsidP="00313DAB">
      <w:pPr>
        <w:spacing w:before="120"/>
        <w:jc w:val="center"/>
        <w:rPr>
          <w:color w:val="auto"/>
          <w:sz w:val="26"/>
          <w:szCs w:val="26"/>
          <w:lang w:eastAsia="en-US"/>
        </w:rPr>
      </w:pPr>
      <w:r w:rsidRPr="003669C0">
        <w:rPr>
          <w:noProof/>
          <w:color w:val="auto"/>
          <w:sz w:val="26"/>
          <w:szCs w:val="26"/>
          <w:lang w:eastAsia="en-US"/>
        </w:rPr>
        <w:lastRenderedPageBreak/>
        <w:drawing>
          <wp:inline distT="0" distB="0" distL="0" distR="0" wp14:anchorId="391CD1B5" wp14:editId="21A5F1FC">
            <wp:extent cx="3505200" cy="2933700"/>
            <wp:effectExtent l="0" t="0" r="0" b="0"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BF238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  <w:r w:rsidRPr="003669C0">
        <w:rPr>
          <w:color w:val="auto"/>
          <w:lang w:eastAsia="en-US"/>
        </w:rPr>
        <w:t xml:space="preserve">Hình 3. Nhãn II-VÀNG: nửa trên nền màu vàng, nửa dưới nền màu trắng, </w:t>
      </w:r>
      <w:r w:rsidRPr="003669C0">
        <w:rPr>
          <w:color w:val="auto"/>
          <w:lang w:eastAsia="en-US"/>
        </w:rPr>
        <w:br/>
        <w:t xml:space="preserve">dấu hiệu cảnh báo bức xạ màu đen, chữ màu đen, chữ II màu đỏ, </w:t>
      </w:r>
      <w:r w:rsidRPr="003669C0">
        <w:rPr>
          <w:color w:val="auto"/>
          <w:lang w:eastAsia="en-US"/>
        </w:rPr>
        <w:br/>
        <w:t>kích thước mỗi chiều tối thiểu 100 milimét</w:t>
      </w:r>
      <w:r w:rsidRPr="003669C0" w:rsidDel="00E737FA">
        <w:rPr>
          <w:color w:val="auto"/>
          <w:lang w:eastAsia="en-US"/>
        </w:rPr>
        <w:t xml:space="preserve"> </w:t>
      </w:r>
    </w:p>
    <w:p w14:paraId="19D834EC" w14:textId="77777777" w:rsidR="00856B63" w:rsidRPr="003669C0" w:rsidRDefault="00856B63" w:rsidP="00313DAB">
      <w:pPr>
        <w:spacing w:before="120"/>
        <w:jc w:val="center"/>
        <w:rPr>
          <w:color w:val="auto"/>
          <w:sz w:val="26"/>
          <w:szCs w:val="26"/>
          <w:lang w:eastAsia="en-US"/>
        </w:rPr>
      </w:pPr>
      <w:r w:rsidRPr="003669C0">
        <w:rPr>
          <w:noProof/>
          <w:color w:val="auto"/>
          <w:sz w:val="26"/>
          <w:szCs w:val="26"/>
          <w:lang w:eastAsia="en-US"/>
        </w:rPr>
        <w:drawing>
          <wp:inline distT="0" distB="0" distL="0" distR="0" wp14:anchorId="7641133B" wp14:editId="398BB199">
            <wp:extent cx="3185160" cy="2895600"/>
            <wp:effectExtent l="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730EC3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  <w:r w:rsidRPr="003669C0">
        <w:rPr>
          <w:color w:val="auto"/>
          <w:lang w:eastAsia="en-US"/>
        </w:rPr>
        <w:t xml:space="preserve">Hình 4. Nhãn III-VÀNG: nửa trên nền màu vàng, nửa dưới nền màu trắng, </w:t>
      </w:r>
      <w:r w:rsidRPr="003669C0">
        <w:rPr>
          <w:color w:val="auto"/>
          <w:lang w:eastAsia="en-US"/>
        </w:rPr>
        <w:br/>
        <w:t xml:space="preserve">dấu hiệu cảnh báo bức xạ màu đen, chữ màu đen, chữ III màu đỏ, </w:t>
      </w:r>
      <w:r w:rsidRPr="003669C0">
        <w:rPr>
          <w:color w:val="auto"/>
          <w:lang w:eastAsia="en-US"/>
        </w:rPr>
        <w:br/>
        <w:t xml:space="preserve">kích thước mỗi chiều tối thiểu 100 milimét </w:t>
      </w:r>
    </w:p>
    <w:p w14:paraId="570A1E30" w14:textId="77777777" w:rsidR="00856B63" w:rsidRPr="003669C0" w:rsidRDefault="00856B63" w:rsidP="00313DAB">
      <w:pPr>
        <w:spacing w:before="120"/>
        <w:jc w:val="center"/>
        <w:rPr>
          <w:color w:val="auto"/>
          <w:sz w:val="26"/>
          <w:szCs w:val="26"/>
          <w:lang w:eastAsia="en-US"/>
        </w:rPr>
      </w:pPr>
      <w:r w:rsidRPr="003669C0">
        <w:rPr>
          <w:noProof/>
          <w:color w:val="auto"/>
          <w:sz w:val="26"/>
          <w:szCs w:val="26"/>
          <w:lang w:eastAsia="en-US"/>
        </w:rPr>
        <w:lastRenderedPageBreak/>
        <w:drawing>
          <wp:inline distT="0" distB="0" distL="0" distR="0" wp14:anchorId="3F291B77" wp14:editId="270F78C0">
            <wp:extent cx="3337560" cy="2971800"/>
            <wp:effectExtent l="0" t="0" r="0" b="0"/>
            <wp:docPr id="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4FEFD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  <w:r w:rsidRPr="003669C0">
        <w:rPr>
          <w:color w:val="auto"/>
          <w:lang w:eastAsia="en-US"/>
        </w:rPr>
        <w:t xml:space="preserve">Hình 5. Nhãn cảnh báo phóng xạ: nửa trên nền màu vàng, nửa dưới nền màu trắng, dấu hiệu cảnh báo bức xạ màu đen, chữ màu đen, kích thước mỗi chiều </w:t>
      </w:r>
      <w:r w:rsidRPr="003669C0">
        <w:rPr>
          <w:color w:val="auto"/>
          <w:lang w:eastAsia="en-US"/>
        </w:rPr>
        <w:br/>
        <w:t>tổi thiểu 250 milimét</w:t>
      </w:r>
    </w:p>
    <w:p w14:paraId="1E270ACD" w14:textId="77777777" w:rsidR="00856B63" w:rsidRPr="003669C0" w:rsidRDefault="00856B63" w:rsidP="00313DAB">
      <w:pPr>
        <w:spacing w:before="120"/>
        <w:jc w:val="center"/>
        <w:rPr>
          <w:color w:val="auto"/>
          <w:sz w:val="26"/>
          <w:szCs w:val="26"/>
          <w:lang w:eastAsia="en-US"/>
        </w:rPr>
      </w:pPr>
      <w:r w:rsidRPr="003669C0">
        <w:rPr>
          <w:noProof/>
          <w:color w:val="auto"/>
          <w:sz w:val="26"/>
          <w:szCs w:val="26"/>
          <w:lang w:eastAsia="en-US"/>
        </w:rPr>
        <w:drawing>
          <wp:inline distT="0" distB="0" distL="0" distR="0" wp14:anchorId="17983365" wp14:editId="44F874C5">
            <wp:extent cx="3314700" cy="29718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D61A9C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  <w:r w:rsidRPr="003669C0">
        <w:rPr>
          <w:color w:val="auto"/>
          <w:lang w:eastAsia="en-US"/>
        </w:rPr>
        <w:t>Hình 6. Nhãn chỉ số an toàn tới hạn: nền màu đen trắng, kích thước mỗi chiều</w:t>
      </w:r>
      <w:r w:rsidRPr="003669C0">
        <w:rPr>
          <w:color w:val="auto"/>
          <w:lang w:eastAsia="en-US"/>
        </w:rPr>
        <w:br/>
        <w:t>tối thiểu 100 milimét</w:t>
      </w:r>
    </w:p>
    <w:p w14:paraId="62C7BF17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</w:p>
    <w:p w14:paraId="23FACF31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</w:p>
    <w:p w14:paraId="67EB4B9D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</w:p>
    <w:p w14:paraId="48C0A472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</w:p>
    <w:p w14:paraId="21717E29" w14:textId="77777777" w:rsidR="00856B63" w:rsidRPr="003669C0" w:rsidRDefault="00856B63" w:rsidP="00313DAB">
      <w:pPr>
        <w:spacing w:before="120"/>
        <w:jc w:val="center"/>
        <w:rPr>
          <w:color w:val="auto"/>
          <w:lang w:eastAsia="en-US"/>
        </w:rPr>
      </w:pPr>
      <w:r w:rsidRPr="003669C0">
        <w:rPr>
          <w:rFonts w:eastAsia="Malgun Gothic"/>
          <w:noProof/>
          <w:color w:val="auto"/>
          <w:lang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0AA4838F" wp14:editId="6457BE31">
            <wp:simplePos x="0" y="0"/>
            <wp:positionH relativeFrom="margin">
              <wp:align>center</wp:align>
            </wp:positionH>
            <wp:positionV relativeFrom="paragraph">
              <wp:posOffset>522</wp:posOffset>
            </wp:positionV>
            <wp:extent cx="4533900" cy="2374900"/>
            <wp:effectExtent l="0" t="0" r="0" b="6350"/>
            <wp:wrapTopAndBottom/>
            <wp:docPr id="287293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2933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669C0">
        <w:rPr>
          <w:color w:val="auto"/>
          <w:lang w:eastAsia="en-US"/>
        </w:rPr>
        <w:t>Hình 7. Biển báo dùng để hiển thị riêng số UN. Nền của biển báo phải có màu da cam; đường viền và số UN phải có màu đen. Ký hiệu "</w:t>
      </w:r>
      <w:r w:rsidRPr="003669C0">
        <w:rPr>
          <w:rFonts w:ascii="StarsStripes" w:hAnsi="StarsStripes"/>
          <w:color w:val="auto"/>
          <w:lang w:eastAsia="en-US"/>
        </w:rPr>
        <w:sym w:font="Wingdings" w:char="F0AB"/>
      </w:r>
      <w:r w:rsidRPr="003669C0">
        <w:rPr>
          <w:rFonts w:ascii="StarsStripes" w:hAnsi="StarsStripes"/>
          <w:color w:val="auto"/>
          <w:lang w:eastAsia="en-US"/>
        </w:rPr>
        <w:sym w:font="Wingdings" w:char="F0AB"/>
      </w:r>
      <w:r w:rsidRPr="003669C0">
        <w:rPr>
          <w:rFonts w:ascii="StarsStripes" w:hAnsi="StarsStripes"/>
          <w:color w:val="auto"/>
          <w:lang w:eastAsia="en-US"/>
        </w:rPr>
        <w:sym w:font="Wingdings" w:char="F0AB"/>
      </w:r>
      <w:r w:rsidRPr="003669C0">
        <w:rPr>
          <w:rFonts w:ascii="StarsStripes" w:hAnsi="StarsStripes"/>
          <w:color w:val="auto"/>
          <w:lang w:eastAsia="en-US"/>
        </w:rPr>
        <w:sym w:font="Wingdings" w:char="F0AB"/>
      </w:r>
      <w:r w:rsidRPr="003669C0">
        <w:rPr>
          <w:color w:val="auto"/>
          <w:lang w:eastAsia="en-US"/>
        </w:rPr>
        <w:t>" chỉ vị trí hiển thị số UN tương ứng đối với vật liệu phóng xạ, theo quy định tại Bảng 7 Phụ lục 6 ban hành kèm theo Thông tư này</w:t>
      </w:r>
    </w:p>
    <w:p w14:paraId="1A01AF15" w14:textId="77777777" w:rsidR="00856B63" w:rsidRPr="003669C0" w:rsidRDefault="00856B63" w:rsidP="00313DAB">
      <w:pPr>
        <w:spacing w:before="120"/>
        <w:jc w:val="center"/>
        <w:rPr>
          <w:rStyle w:val="Heading1Char"/>
          <w:color w:val="auto"/>
        </w:rPr>
      </w:pPr>
    </w:p>
    <w:p w14:paraId="4DA67758" w14:textId="77777777" w:rsidR="00856B63" w:rsidRPr="003669C0" w:rsidRDefault="00856B63" w:rsidP="00313DAB">
      <w:pPr>
        <w:spacing w:before="120"/>
        <w:rPr>
          <w:rFonts w:eastAsia="Malgun Gothic"/>
          <w:color w:val="auto"/>
          <w:lang w:eastAsia="en-US"/>
        </w:rPr>
      </w:pPr>
    </w:p>
    <w:p w14:paraId="75A28BDB" w14:textId="77777777" w:rsidR="00C41E69" w:rsidRDefault="00C41E69" w:rsidP="00313DAB">
      <w:pPr>
        <w:spacing w:before="120"/>
      </w:pPr>
    </w:p>
    <w:sectPr w:rsidR="00C41E69" w:rsidSect="003427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11D24" w14:textId="77777777" w:rsidR="001573B2" w:rsidRDefault="001573B2" w:rsidP="00891247">
      <w:r>
        <w:separator/>
      </w:r>
    </w:p>
  </w:endnote>
  <w:endnote w:type="continuationSeparator" w:id="0">
    <w:p w14:paraId="5E725544" w14:textId="77777777" w:rsidR="001573B2" w:rsidRDefault="001573B2" w:rsidP="00891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tarsStripes">
    <w:panose1 w:val="00000400000000000000"/>
    <w:charset w:val="00"/>
    <w:family w:val="auto"/>
    <w:pitch w:val="variable"/>
    <w:sig w:usb0="2000000F" w:usb1="00000002" w:usb2="00000000" w:usb3="00000000" w:csb0="000001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301D" w14:textId="77777777" w:rsidR="00342703" w:rsidRDefault="00342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93258" w14:textId="355ABEDA" w:rsidR="00342703" w:rsidRDefault="00342703">
    <w:pPr>
      <w:pStyle w:val="Footer"/>
      <w:jc w:val="center"/>
    </w:pPr>
  </w:p>
  <w:p w14:paraId="40D10B88" w14:textId="77777777" w:rsidR="00891247" w:rsidRDefault="008912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55C5E" w14:textId="77777777" w:rsidR="00342703" w:rsidRDefault="003427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1D89" w14:textId="77777777" w:rsidR="001573B2" w:rsidRDefault="001573B2" w:rsidP="00891247">
      <w:r>
        <w:separator/>
      </w:r>
    </w:p>
  </w:footnote>
  <w:footnote w:type="continuationSeparator" w:id="0">
    <w:p w14:paraId="65EC1531" w14:textId="77777777" w:rsidR="001573B2" w:rsidRDefault="001573B2" w:rsidP="00891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6E5A7" w14:textId="77777777" w:rsidR="00342703" w:rsidRDefault="003427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3887850"/>
      <w:docPartObj>
        <w:docPartGallery w:val="Page Numbers (Top of Page)"/>
        <w:docPartUnique/>
      </w:docPartObj>
    </w:sdtPr>
    <w:sdtEndPr>
      <w:rPr>
        <w:noProof/>
        <w:color w:val="auto"/>
      </w:rPr>
    </w:sdtEndPr>
    <w:sdtContent>
      <w:p w14:paraId="78492D02" w14:textId="735C28CF" w:rsidR="00342703" w:rsidRPr="00342703" w:rsidRDefault="00342703">
        <w:pPr>
          <w:pStyle w:val="Header"/>
          <w:jc w:val="center"/>
          <w:rPr>
            <w:color w:val="auto"/>
          </w:rPr>
        </w:pPr>
        <w:r w:rsidRPr="00342703">
          <w:rPr>
            <w:color w:val="auto"/>
          </w:rPr>
          <w:fldChar w:fldCharType="begin"/>
        </w:r>
        <w:r w:rsidRPr="00342703">
          <w:rPr>
            <w:color w:val="auto"/>
          </w:rPr>
          <w:instrText xml:space="preserve"> PAGE   \* MERGEFORMAT </w:instrText>
        </w:r>
        <w:r w:rsidRPr="00342703">
          <w:rPr>
            <w:color w:val="auto"/>
          </w:rPr>
          <w:fldChar w:fldCharType="separate"/>
        </w:r>
        <w:r w:rsidRPr="00342703">
          <w:rPr>
            <w:noProof/>
            <w:color w:val="auto"/>
          </w:rPr>
          <w:t>2</w:t>
        </w:r>
        <w:r w:rsidRPr="00342703">
          <w:rPr>
            <w:noProof/>
            <w:color w:val="auto"/>
          </w:rPr>
          <w:fldChar w:fldCharType="end"/>
        </w:r>
      </w:p>
    </w:sdtContent>
  </w:sdt>
  <w:p w14:paraId="185571A0" w14:textId="77777777" w:rsidR="00342703" w:rsidRDefault="003427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2721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0ECA1D" w14:textId="33486FC1" w:rsidR="00342703" w:rsidRDefault="0034270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A13884" w14:textId="77777777" w:rsidR="00891247" w:rsidRDefault="008912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B63"/>
    <w:rsid w:val="001102C4"/>
    <w:rsid w:val="001573B2"/>
    <w:rsid w:val="00176E14"/>
    <w:rsid w:val="001C5284"/>
    <w:rsid w:val="002B4C14"/>
    <w:rsid w:val="00313DAB"/>
    <w:rsid w:val="00342703"/>
    <w:rsid w:val="004E4D26"/>
    <w:rsid w:val="006636F1"/>
    <w:rsid w:val="0077423A"/>
    <w:rsid w:val="00783671"/>
    <w:rsid w:val="00856B63"/>
    <w:rsid w:val="00891247"/>
    <w:rsid w:val="008B11E6"/>
    <w:rsid w:val="008B70CE"/>
    <w:rsid w:val="009A130C"/>
    <w:rsid w:val="009D6C21"/>
    <w:rsid w:val="00A2199B"/>
    <w:rsid w:val="00A54C36"/>
    <w:rsid w:val="00C03A43"/>
    <w:rsid w:val="00C41E69"/>
    <w:rsid w:val="00DA6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154A8"/>
  <w15:chartTrackingRefBased/>
  <w15:docId w15:val="{5BE58650-011C-407E-BA33-2A9C487F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B63"/>
    <w:pPr>
      <w:spacing w:after="0" w:line="240" w:lineRule="auto"/>
    </w:pPr>
    <w:rPr>
      <w:rFonts w:ascii="Times New Roman" w:eastAsia="Times New Roman" w:hAnsi="Times New Roman" w:cs="Times New Roman"/>
      <w:color w:val="0000FF"/>
      <w:sz w:val="28"/>
      <w:szCs w:val="28"/>
      <w:lang w:eastAsia="ko-KR"/>
    </w:rPr>
  </w:style>
  <w:style w:type="paragraph" w:styleId="Heading1">
    <w:name w:val="heading 1"/>
    <w:basedOn w:val="Normal"/>
    <w:next w:val="Normal"/>
    <w:link w:val="Heading1Char"/>
    <w:qFormat/>
    <w:rsid w:val="00856B63"/>
    <w:pPr>
      <w:keepNext/>
      <w:spacing w:before="120" w:after="120" w:line="320" w:lineRule="exact"/>
      <w:outlineLvl w:val="0"/>
    </w:pPr>
    <w:rPr>
      <w:rFonts w:eastAsia="Malgun Gothic"/>
      <w:b/>
      <w:bCs/>
      <w:color w:val="auto"/>
      <w:kern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6B63"/>
    <w:rPr>
      <w:rFonts w:ascii="Times New Roman" w:eastAsia="Malgun Gothic" w:hAnsi="Times New Roman" w:cs="Times New Roman"/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912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247"/>
    <w:rPr>
      <w:rFonts w:ascii="Times New Roman" w:eastAsia="Times New Roman" w:hAnsi="Times New Roman" w:cs="Times New Roman"/>
      <w:color w:val="0000FF"/>
      <w:sz w:val="28"/>
      <w:szCs w:val="28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8912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247"/>
    <w:rPr>
      <w:rFonts w:ascii="Times New Roman" w:eastAsia="Times New Roman" w:hAnsi="Times New Roman" w:cs="Times New Roman"/>
      <w:color w:val="0000FF"/>
      <w:sz w:val="28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6D6768-587E-47F6-8265-65BFE4F791E9}"/>
</file>

<file path=customXml/itemProps2.xml><?xml version="1.0" encoding="utf-8"?>
<ds:datastoreItem xmlns:ds="http://schemas.openxmlformats.org/officeDocument/2006/customXml" ds:itemID="{7A1BB6F1-A4DC-4118-9024-D2D52B3F4AC9}"/>
</file>

<file path=customXml/itemProps3.xml><?xml version="1.0" encoding="utf-8"?>
<ds:datastoreItem xmlns:ds="http://schemas.openxmlformats.org/officeDocument/2006/customXml" ds:itemID="{5575EEF6-62E9-4CB0-A1C8-D5BEBA84A4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2026-01-12T09:41:00Z</dcterms:created>
  <dcterms:modified xsi:type="dcterms:W3CDTF">2026-01-12T10:32:00Z</dcterms:modified>
</cp:coreProperties>
</file>